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4C2EE4" w:rsidP="00E148CF">
      <w:pPr>
        <w:spacing w:line="480" w:lineRule="auto"/>
        <w:jc w:val="center"/>
        <w:rPr>
          <w:bCs/>
          <w:sz w:val="24"/>
          <w:szCs w:val="24"/>
        </w:rPr>
      </w:pPr>
      <w:r w:rsidRPr="00E92EAA">
        <w:rPr>
          <w:bCs/>
          <w:sz w:val="24"/>
          <w:szCs w:val="24"/>
        </w:rPr>
        <w:t>Annotated Bibliography: Mental and Physical Health</w:t>
      </w:r>
    </w:p>
    <w:p w:rsidR="00E857C2" w:rsidRPr="00E92EAA" w:rsidRDefault="00E857C2" w:rsidP="00E148CF">
      <w:pPr>
        <w:spacing w:line="480" w:lineRule="auto"/>
        <w:jc w:val="center"/>
        <w:rPr>
          <w:bCs/>
          <w:sz w:val="24"/>
          <w:szCs w:val="24"/>
        </w:rPr>
      </w:pPr>
      <w:r w:rsidRPr="00E92EAA">
        <w:rPr>
          <w:bCs/>
          <w:sz w:val="24"/>
          <w:szCs w:val="24"/>
        </w:rPr>
        <w:t>Student Name</w:t>
      </w:r>
    </w:p>
    <w:p w:rsidR="00E857C2" w:rsidRPr="00E92EAA" w:rsidRDefault="00E857C2" w:rsidP="00E148CF">
      <w:pPr>
        <w:spacing w:line="480" w:lineRule="auto"/>
        <w:jc w:val="center"/>
        <w:rPr>
          <w:bCs/>
          <w:sz w:val="24"/>
          <w:szCs w:val="24"/>
        </w:rPr>
      </w:pPr>
      <w:r w:rsidRPr="00E92EAA">
        <w:rPr>
          <w:bCs/>
          <w:sz w:val="24"/>
          <w:szCs w:val="24"/>
        </w:rPr>
        <w:t>Institution</w:t>
      </w:r>
      <w:r w:rsidR="00E92EAA" w:rsidRPr="00E92EAA">
        <w:rPr>
          <w:bCs/>
          <w:sz w:val="24"/>
          <w:szCs w:val="24"/>
        </w:rPr>
        <w:t>al affiliation</w:t>
      </w: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rPr>
          <w:bCs/>
          <w:sz w:val="24"/>
          <w:szCs w:val="24"/>
        </w:rPr>
      </w:pPr>
    </w:p>
    <w:p w:rsidR="00E857C2" w:rsidRPr="00E92EAA" w:rsidRDefault="00E857C2" w:rsidP="00E148CF">
      <w:pPr>
        <w:spacing w:line="480" w:lineRule="auto"/>
        <w:jc w:val="center"/>
        <w:rPr>
          <w:bCs/>
          <w:sz w:val="24"/>
          <w:szCs w:val="24"/>
        </w:rPr>
      </w:pPr>
      <w:r w:rsidRPr="00E92EAA">
        <w:rPr>
          <w:bCs/>
          <w:sz w:val="24"/>
          <w:szCs w:val="24"/>
        </w:rPr>
        <w:lastRenderedPageBreak/>
        <w:t>Annotated Biblio</w:t>
      </w:r>
      <w:r w:rsidR="003208C7" w:rsidRPr="00E92EAA">
        <w:rPr>
          <w:bCs/>
          <w:sz w:val="24"/>
          <w:szCs w:val="24"/>
        </w:rPr>
        <w:t>graphy</w:t>
      </w:r>
    </w:p>
    <w:p w:rsidR="006D3AD2" w:rsidRPr="00E92EAA" w:rsidRDefault="006D3AD2" w:rsidP="00E148CF">
      <w:pPr>
        <w:spacing w:line="480" w:lineRule="auto"/>
        <w:ind w:firstLine="720"/>
        <w:rPr>
          <w:sz w:val="24"/>
          <w:szCs w:val="24"/>
        </w:rPr>
      </w:pPr>
      <w:r w:rsidRPr="00E92EAA">
        <w:rPr>
          <w:sz w:val="24"/>
          <w:szCs w:val="24"/>
        </w:rPr>
        <w:t>Research depicts that implicit bias is prevalent among Medicare providers. These stigmatizing or negative attitudes toward population individuals are held at a subconscious state and are automatically activated during client-practitioner encounters. The Author further provides examples of how implicit bias may impede care accessibility, clinical screening and diagnosis, crisis response and treatment processes.</w:t>
      </w:r>
      <w:r w:rsidR="00266F5C">
        <w:rPr>
          <w:sz w:val="24"/>
          <w:szCs w:val="24"/>
        </w:rPr>
        <w:t xml:space="preserve"> Proper medical research conducted without bias therefore ensures protection of the </w:t>
      </w:r>
      <w:r w:rsidR="0069434A">
        <w:rPr>
          <w:sz w:val="24"/>
          <w:szCs w:val="24"/>
        </w:rPr>
        <w:t>volunteer’s</w:t>
      </w:r>
      <w:r w:rsidR="00266F5C">
        <w:rPr>
          <w:sz w:val="24"/>
          <w:szCs w:val="24"/>
        </w:rPr>
        <w:t xml:space="preserve"> medical and physical health through various ways.</w:t>
      </w:r>
    </w:p>
    <w:p w:rsidR="00C64410" w:rsidRPr="00E92EAA" w:rsidRDefault="00C64410" w:rsidP="00C64410">
      <w:pPr>
        <w:spacing w:line="480" w:lineRule="auto"/>
        <w:ind w:left="720" w:hanging="720"/>
        <w:rPr>
          <w:i/>
          <w:sz w:val="24"/>
          <w:szCs w:val="24"/>
        </w:rPr>
      </w:pPr>
      <w:proofErr w:type="gramStart"/>
      <w:r w:rsidRPr="00E92EAA">
        <w:rPr>
          <w:sz w:val="24"/>
          <w:szCs w:val="24"/>
        </w:rPr>
        <w:t>Merino, Y., Adams, L., &amp; Hall, W. J. (2018).</w:t>
      </w:r>
      <w:proofErr w:type="gramEnd"/>
      <w:r w:rsidRPr="00E92EAA">
        <w:rPr>
          <w:sz w:val="24"/>
          <w:szCs w:val="24"/>
        </w:rPr>
        <w:t xml:space="preserve"> </w:t>
      </w:r>
      <w:r w:rsidRPr="00E92EAA">
        <w:rPr>
          <w:i/>
          <w:sz w:val="24"/>
          <w:szCs w:val="24"/>
        </w:rPr>
        <w:t>Implicit Bias and Mental Health Professionals: Priorities and Directions for Research.</w:t>
      </w:r>
    </w:p>
    <w:p w:rsidR="006D3AD2" w:rsidRPr="00E92EAA" w:rsidRDefault="00B93D2F" w:rsidP="00C64410">
      <w:pPr>
        <w:spacing w:line="480" w:lineRule="auto"/>
        <w:ind w:firstLine="720"/>
        <w:rPr>
          <w:sz w:val="24"/>
          <w:szCs w:val="24"/>
        </w:rPr>
      </w:pPr>
      <w:r>
        <w:rPr>
          <w:sz w:val="24"/>
          <w:szCs w:val="24"/>
        </w:rPr>
        <w:t>Merino and Adams</w:t>
      </w:r>
      <w:r w:rsidRPr="00E92EAA">
        <w:rPr>
          <w:sz w:val="24"/>
          <w:szCs w:val="24"/>
        </w:rPr>
        <w:t xml:space="preserve"> offers information using an open Forum which explores the role of bias in the mental health care continuum that may contribute to mental health disparities gap among vulnerable populations. </w:t>
      </w:r>
      <w:r w:rsidR="00266F5C">
        <w:rPr>
          <w:sz w:val="24"/>
          <w:szCs w:val="24"/>
        </w:rPr>
        <w:t>Merino and Adams</w:t>
      </w:r>
      <w:r w:rsidR="006D3AD2" w:rsidRPr="00E92EAA">
        <w:rPr>
          <w:sz w:val="24"/>
          <w:szCs w:val="24"/>
        </w:rPr>
        <w:t xml:space="preserve"> also discu</w:t>
      </w:r>
      <w:bookmarkStart w:id="0" w:name="_GoBack"/>
      <w:bookmarkEnd w:id="0"/>
      <w:r w:rsidR="006D3AD2" w:rsidRPr="00E92EAA">
        <w:rPr>
          <w:sz w:val="24"/>
          <w:szCs w:val="24"/>
        </w:rPr>
        <w:t>sses how implicit attitudes may manifest at the link between mental health and criminal justice institutions. Further, the authors discuss the need for more research on the impact of implicit bias on health practices throughout the mental health system, including the development of strategies and interventions on how to address implicit bias among mental health professionals. The further author advice advises the readers that the people with mental disorders need to e treated with care in a long term basis to reduce the development of the symptoms and reduce resistance otherwise boosting a good relationship and adherence to medication. The Author advises that to deal with mental health issues, the role of prison and the correctional populations need to be considered.</w:t>
      </w:r>
    </w:p>
    <w:p w:rsidR="006D3AD2" w:rsidRPr="00E92EAA" w:rsidRDefault="006D3AD2" w:rsidP="00E148CF">
      <w:pPr>
        <w:spacing w:line="480" w:lineRule="auto"/>
        <w:ind w:firstLine="720"/>
        <w:rPr>
          <w:sz w:val="24"/>
          <w:szCs w:val="24"/>
        </w:rPr>
      </w:pPr>
      <w:r w:rsidRPr="00E92EAA">
        <w:rPr>
          <w:sz w:val="24"/>
          <w:szCs w:val="24"/>
        </w:rPr>
        <w:lastRenderedPageBreak/>
        <w:t>The Author concludes that the implicit biases pervade mental health system and that the mental health has unique threats and equitable medicate service and deserves research attention. The effects of biasness are adverse, and so the Author recommends that future research should focus on the understanding and addressing of issues in mental health. The article is a credible source offering information on research on the medical ground which should be inclusive of mental health.</w:t>
      </w:r>
    </w:p>
    <w:p w:rsidR="006D3AD2" w:rsidRPr="00E92EAA" w:rsidRDefault="006D3AD2" w:rsidP="00E148CF">
      <w:pPr>
        <w:spacing w:line="480" w:lineRule="auto"/>
        <w:ind w:left="720" w:hanging="720"/>
        <w:rPr>
          <w:sz w:val="24"/>
          <w:szCs w:val="24"/>
        </w:rPr>
      </w:pPr>
      <w:proofErr w:type="gramStart"/>
      <w:r w:rsidRPr="00E92EAA">
        <w:rPr>
          <w:sz w:val="24"/>
          <w:szCs w:val="24"/>
        </w:rPr>
        <w:t>Ager, A. (1997).</w:t>
      </w:r>
      <w:proofErr w:type="gramEnd"/>
      <w:r w:rsidRPr="00E92EAA">
        <w:rPr>
          <w:sz w:val="24"/>
          <w:szCs w:val="24"/>
        </w:rPr>
        <w:t xml:space="preserve"> </w:t>
      </w:r>
      <w:r w:rsidRPr="00E92EAA">
        <w:rPr>
          <w:i/>
          <w:sz w:val="24"/>
          <w:szCs w:val="24"/>
        </w:rPr>
        <w:t>Tensions in the psychosocial discourse: Implications for the planning of interventions with war-affected populations. Development in Practice</w:t>
      </w:r>
      <w:proofErr w:type="gramStart"/>
      <w:r w:rsidRPr="00E92EAA">
        <w:rPr>
          <w:sz w:val="24"/>
          <w:szCs w:val="24"/>
        </w:rPr>
        <w:t>,7</w:t>
      </w:r>
      <w:proofErr w:type="gramEnd"/>
      <w:r w:rsidRPr="00E92EAA">
        <w:rPr>
          <w:sz w:val="24"/>
          <w:szCs w:val="24"/>
        </w:rPr>
        <w:t>(4), 402-407.</w:t>
      </w:r>
    </w:p>
    <w:p w:rsidR="006D3AD2" w:rsidRPr="00E92EAA" w:rsidRDefault="006D3AD2" w:rsidP="00E148CF">
      <w:pPr>
        <w:spacing w:line="480" w:lineRule="auto"/>
        <w:ind w:firstLine="720"/>
        <w:rPr>
          <w:sz w:val="24"/>
          <w:szCs w:val="24"/>
        </w:rPr>
      </w:pPr>
      <w:r w:rsidRPr="00E92EAA">
        <w:rPr>
          <w:sz w:val="24"/>
          <w:szCs w:val="24"/>
        </w:rPr>
        <w:t>The article addresses various fundamental conceptual tensions underlying the debates on the psychosocial interventions with the war-affected populations. The report addresses three tensions as the uniqueness of the relevant knowledge, valuing of the technical versus the indigenous understanding and the community-based interventions. The Author further explores the programs that deal with emphasizing more technical, general and targeted approaches to offer psychological interventions may use the decontextualized approach, which focuses on the individuals rather than groups.  The Author provided a model of phased response to be used in reducing tension and alleviate stress and distress. The model emphasizes the use of indigenous knowledge to develop more of understanding and provides solutions to the problem of mental health. The Author further posits the importance of including the community interventions in the management and care of the patients. Community involvement will foster the provision of solutions more practically hence ensure that success of mental health systems</w:t>
      </w:r>
    </w:p>
    <w:p w:rsidR="006D3AD2" w:rsidRPr="00E92EAA" w:rsidRDefault="006D3AD2" w:rsidP="00E148CF">
      <w:pPr>
        <w:spacing w:line="480" w:lineRule="auto"/>
        <w:ind w:left="720" w:hanging="720"/>
        <w:rPr>
          <w:sz w:val="24"/>
          <w:szCs w:val="24"/>
        </w:rPr>
      </w:pPr>
      <w:r w:rsidRPr="00E92EAA">
        <w:rPr>
          <w:sz w:val="24"/>
          <w:szCs w:val="24"/>
        </w:rPr>
        <w:t xml:space="preserve">Ahearn, F.L. (Ed.). </w:t>
      </w:r>
      <w:proofErr w:type="gramStart"/>
      <w:r w:rsidRPr="00E92EAA">
        <w:rPr>
          <w:sz w:val="24"/>
          <w:szCs w:val="24"/>
        </w:rPr>
        <w:t>(2000). Psychosocial wellness of refugees.</w:t>
      </w:r>
      <w:proofErr w:type="gramEnd"/>
      <w:r w:rsidRPr="00E92EAA">
        <w:rPr>
          <w:sz w:val="24"/>
          <w:szCs w:val="24"/>
        </w:rPr>
        <w:t xml:space="preserve"> </w:t>
      </w:r>
      <w:r w:rsidRPr="00E92EAA">
        <w:rPr>
          <w:i/>
          <w:sz w:val="24"/>
          <w:szCs w:val="24"/>
        </w:rPr>
        <w:t xml:space="preserve">Issues in qualitative and quantitative </w:t>
      </w:r>
      <w:proofErr w:type="spellStart"/>
      <w:r w:rsidRPr="00E92EAA">
        <w:rPr>
          <w:i/>
          <w:sz w:val="24"/>
          <w:szCs w:val="24"/>
        </w:rPr>
        <w:t>research</w:t>
      </w:r>
      <w:r w:rsidRPr="00E92EAA">
        <w:rPr>
          <w:sz w:val="24"/>
          <w:szCs w:val="24"/>
        </w:rPr>
        <w:t>.London</w:t>
      </w:r>
      <w:proofErr w:type="spellEnd"/>
      <w:r w:rsidRPr="00E92EAA">
        <w:rPr>
          <w:sz w:val="24"/>
          <w:szCs w:val="24"/>
        </w:rPr>
        <w:t xml:space="preserve">: </w:t>
      </w:r>
      <w:proofErr w:type="spellStart"/>
      <w:r w:rsidRPr="00E92EAA">
        <w:rPr>
          <w:sz w:val="24"/>
          <w:szCs w:val="24"/>
        </w:rPr>
        <w:t>Berghahn</w:t>
      </w:r>
      <w:proofErr w:type="spellEnd"/>
      <w:r w:rsidRPr="00E92EAA">
        <w:rPr>
          <w:sz w:val="24"/>
          <w:szCs w:val="24"/>
        </w:rPr>
        <w:t>.</w:t>
      </w:r>
    </w:p>
    <w:p w:rsidR="006D3AD2" w:rsidRPr="00E92EAA" w:rsidRDefault="006D3AD2" w:rsidP="00E148CF">
      <w:pPr>
        <w:spacing w:line="480" w:lineRule="auto"/>
        <w:ind w:firstLine="720"/>
        <w:rPr>
          <w:sz w:val="24"/>
          <w:szCs w:val="24"/>
        </w:rPr>
      </w:pPr>
      <w:r w:rsidRPr="00E92EAA">
        <w:rPr>
          <w:sz w:val="24"/>
          <w:szCs w:val="24"/>
        </w:rPr>
        <w:lastRenderedPageBreak/>
        <w:t>The book focuses on research approaches to investigating psychosocial problems influencing populations affected by war. Most practitioners and researchers are required to defend the assumptions of their psychosocial programs and enhance the demonstration of the appropriateness efficacy of their interventions. Careful application of research strategies assist in clarifying the outcomes of definitions and schedule and can help in informing discussions of policy, funding and planning. The book, therefore, offers examples and suggestions for ways in which research can be conducted into psychosocial problems, as well as highlighting the limitations and strengths of various approaches. The first two sections of the book offer an overview of numerous methodological approaches and how they can be applied in evaluating the psychosocial programs. The Author further provides knowledge on the effective methodologies and intervention of addressing research that targets the people with mental and psychological disorders faced by populations.</w:t>
      </w:r>
    </w:p>
    <w:p w:rsidR="006D3AD2" w:rsidRPr="00E92EAA" w:rsidRDefault="006D3AD2" w:rsidP="00E148CF">
      <w:pPr>
        <w:spacing w:line="480" w:lineRule="auto"/>
        <w:ind w:firstLine="720"/>
        <w:rPr>
          <w:sz w:val="24"/>
          <w:szCs w:val="24"/>
        </w:rPr>
      </w:pPr>
      <w:r w:rsidRPr="00E92EAA">
        <w:rPr>
          <w:sz w:val="24"/>
          <w:szCs w:val="24"/>
        </w:rPr>
        <w:t xml:space="preserve">The Author further presents the Case studies of qualitative approaches, like the autobiographical and ethnographic interventions of understanding refugees the conceptions of health, distress, illness. The Author also includes Quantitative case studies which make use of the various measurement tools are also included, for example, one chapter by </w:t>
      </w:r>
      <w:proofErr w:type="spellStart"/>
      <w:r w:rsidRPr="00E92EAA">
        <w:rPr>
          <w:sz w:val="24"/>
          <w:szCs w:val="24"/>
        </w:rPr>
        <w:t>Raija-Leena</w:t>
      </w:r>
      <w:proofErr w:type="spellEnd"/>
      <w:r w:rsidRPr="00E92EAA">
        <w:rPr>
          <w:sz w:val="24"/>
          <w:szCs w:val="24"/>
        </w:rPr>
        <w:t xml:space="preserve"> </w:t>
      </w:r>
      <w:proofErr w:type="spellStart"/>
      <w:r w:rsidRPr="00E92EAA">
        <w:rPr>
          <w:sz w:val="24"/>
          <w:szCs w:val="24"/>
        </w:rPr>
        <w:t>Punamaki</w:t>
      </w:r>
      <w:proofErr w:type="spellEnd"/>
      <w:r w:rsidRPr="00E92EAA">
        <w:rPr>
          <w:sz w:val="24"/>
          <w:szCs w:val="24"/>
        </w:rPr>
        <w:t>, reviews her research with Palestinian women which was conducted over several years. A section on the mixed approaches presents studies which combine both the qualitative and quantitative methods to make use of insights obtained from the various orientations to research. This book is mainly intended for the researchers and academics that need information about the different methodological approaches to offer in regards to studying the psychosocial requirements of refugees, giving some concrete recommendations on steps necessary for conducting qualitative and quantitative, and mixed-method studies.</w:t>
      </w:r>
    </w:p>
    <w:p w:rsidR="006D3AD2" w:rsidRPr="00E92EAA" w:rsidRDefault="006D3AD2" w:rsidP="00E148CF">
      <w:pPr>
        <w:spacing w:line="480" w:lineRule="auto"/>
        <w:ind w:left="720" w:hanging="720"/>
        <w:rPr>
          <w:sz w:val="24"/>
          <w:szCs w:val="24"/>
        </w:rPr>
      </w:pPr>
      <w:proofErr w:type="gramStart"/>
      <w:r w:rsidRPr="00E92EAA">
        <w:rPr>
          <w:sz w:val="24"/>
          <w:szCs w:val="24"/>
        </w:rPr>
        <w:lastRenderedPageBreak/>
        <w:t>Bernard van Leer Foundation (2001).</w:t>
      </w:r>
      <w:proofErr w:type="gramEnd"/>
      <w:r w:rsidRPr="00E92EAA">
        <w:rPr>
          <w:sz w:val="24"/>
          <w:szCs w:val="24"/>
        </w:rPr>
        <w:t xml:space="preserve"> </w:t>
      </w:r>
      <w:r w:rsidRPr="00E92EAA">
        <w:rPr>
          <w:i/>
          <w:sz w:val="24"/>
          <w:szCs w:val="24"/>
        </w:rPr>
        <w:t xml:space="preserve">Effectiveness initiative: First fruits. </w:t>
      </w:r>
      <w:proofErr w:type="gramStart"/>
      <w:r w:rsidRPr="00E92EAA">
        <w:rPr>
          <w:i/>
          <w:sz w:val="24"/>
          <w:szCs w:val="24"/>
        </w:rPr>
        <w:t>In Early childhood matters</w:t>
      </w:r>
      <w:r w:rsidRPr="00E92EAA">
        <w:rPr>
          <w:sz w:val="24"/>
          <w:szCs w:val="24"/>
        </w:rPr>
        <w:t>.</w:t>
      </w:r>
      <w:proofErr w:type="gramEnd"/>
      <w:r w:rsidRPr="00E92EAA">
        <w:rPr>
          <w:sz w:val="24"/>
          <w:szCs w:val="24"/>
        </w:rPr>
        <w:t xml:space="preserve"> The Hague: Bernard van Leer Foundation.</w:t>
      </w:r>
    </w:p>
    <w:p w:rsidR="006D3AD2" w:rsidRPr="00E92EAA" w:rsidRDefault="006D3AD2" w:rsidP="00E148CF">
      <w:pPr>
        <w:spacing w:line="480" w:lineRule="auto"/>
        <w:ind w:firstLine="720"/>
        <w:rPr>
          <w:sz w:val="24"/>
          <w:szCs w:val="24"/>
        </w:rPr>
      </w:pPr>
      <w:r w:rsidRPr="00E92EAA">
        <w:rPr>
          <w:sz w:val="24"/>
          <w:szCs w:val="24"/>
        </w:rPr>
        <w:t>This edition of the Early Childhood Matters deals with the problem of evaluating effectiveness. The Effectiveness Initiative was launched to respond to the need for early childhood projects, which aims at the social inclusion of the young children, to share their lessons of failure and the success with one another in to identify the factors that make these programs workable.  The Author further add that Programs from ten countries participated over a period of two years in giving answers to the question: “What makes early childhood programs effective, in a variety of contexts and for diverse participants?”</w:t>
      </w:r>
    </w:p>
    <w:p w:rsidR="006D3AD2" w:rsidRPr="00E92EAA" w:rsidRDefault="006D3AD2" w:rsidP="00E148CF">
      <w:pPr>
        <w:spacing w:line="480" w:lineRule="auto"/>
        <w:ind w:firstLine="720"/>
        <w:rPr>
          <w:sz w:val="24"/>
          <w:szCs w:val="24"/>
        </w:rPr>
      </w:pPr>
      <w:proofErr w:type="gramStart"/>
      <w:r w:rsidRPr="00E92EAA">
        <w:rPr>
          <w:sz w:val="24"/>
          <w:szCs w:val="24"/>
        </w:rPr>
        <w:t>The Author further advices that the Effective Initiative aims to test the use of participatory and qualitative research methods to foster interna</w:t>
      </w:r>
      <w:r w:rsidR="009A327A">
        <w:rPr>
          <w:sz w:val="24"/>
          <w:szCs w:val="24"/>
        </w:rPr>
        <w:t>tional dialogue on effectivenes</w:t>
      </w:r>
      <w:r w:rsidR="00715B96">
        <w:rPr>
          <w:sz w:val="24"/>
          <w:szCs w:val="24"/>
        </w:rPr>
        <w:t>s</w:t>
      </w:r>
      <w:r w:rsidRPr="00E92EAA">
        <w:rPr>
          <w:sz w:val="24"/>
          <w:szCs w:val="24"/>
        </w:rPr>
        <w:t>.</w:t>
      </w:r>
      <w:proofErr w:type="gramEnd"/>
      <w:r w:rsidRPr="00E92EAA">
        <w:rPr>
          <w:sz w:val="24"/>
          <w:szCs w:val="24"/>
        </w:rPr>
        <w:t xml:space="preserve"> The report shares some of the information gained through the Effectiveness Initiative process, such as the importance for setting aside informal spaces to be used for reflection and self-evaluation. Setting aside such “space,” figuratively and literally, allows people at all levels of the project to assimilate the information offered by the project.</w:t>
      </w:r>
    </w:p>
    <w:p w:rsidR="006D3AD2" w:rsidRPr="00E92EAA" w:rsidRDefault="006D3AD2" w:rsidP="00E148CF">
      <w:pPr>
        <w:spacing w:line="480" w:lineRule="auto"/>
        <w:ind w:firstLine="720"/>
        <w:rPr>
          <w:sz w:val="24"/>
          <w:szCs w:val="24"/>
        </w:rPr>
      </w:pPr>
      <w:r w:rsidRPr="00E92EAA">
        <w:rPr>
          <w:sz w:val="24"/>
          <w:szCs w:val="24"/>
        </w:rPr>
        <w:t xml:space="preserve">The Author further elaborates that the utilization of the staff’s own language rather than the use of the funders was found to be significant, as well as how the findings of the investigations were presented back to the participants. In other organizations, the Effectiveness Initiative was noted as an opportunity for activation and capacity building and activation. The book further offers the individual reports of the ten projects, while not directly relevant to psychosocial issues; it provides some recommendations for how evaluation processes can be conducted in creative and participatory ways. The book is useful in finding better ways of </w:t>
      </w:r>
      <w:r w:rsidRPr="00E92EAA">
        <w:rPr>
          <w:sz w:val="24"/>
          <w:szCs w:val="24"/>
        </w:rPr>
        <w:lastRenderedPageBreak/>
        <w:t>addressing the needs of childre</w:t>
      </w:r>
      <w:r w:rsidR="009A327A">
        <w:rPr>
          <w:sz w:val="24"/>
          <w:szCs w:val="24"/>
        </w:rPr>
        <w:t xml:space="preserve">n with psychological disorders, </w:t>
      </w:r>
      <w:r w:rsidRPr="00E92EAA">
        <w:rPr>
          <w:sz w:val="24"/>
          <w:szCs w:val="24"/>
        </w:rPr>
        <w:t>Hence can be helpful in finding the argument for the rea</w:t>
      </w:r>
      <w:r w:rsidR="009A327A">
        <w:rPr>
          <w:sz w:val="24"/>
          <w:szCs w:val="24"/>
        </w:rPr>
        <w:t xml:space="preserve">son that biased research has </w:t>
      </w:r>
      <w:r w:rsidRPr="00E92EAA">
        <w:rPr>
          <w:sz w:val="24"/>
          <w:szCs w:val="24"/>
        </w:rPr>
        <w:t>adverse effect</w:t>
      </w:r>
      <w:r w:rsidR="009A327A">
        <w:rPr>
          <w:sz w:val="24"/>
          <w:szCs w:val="24"/>
        </w:rPr>
        <w:t>s</w:t>
      </w:r>
      <w:r w:rsidRPr="00E92EAA">
        <w:rPr>
          <w:sz w:val="24"/>
          <w:szCs w:val="24"/>
        </w:rPr>
        <w:t xml:space="preserve"> on mental health.</w:t>
      </w:r>
    </w:p>
    <w:p w:rsidR="006D3AD2" w:rsidRPr="00E92EAA" w:rsidRDefault="006D3AD2" w:rsidP="00E148CF">
      <w:pPr>
        <w:spacing w:line="480" w:lineRule="auto"/>
        <w:ind w:left="720" w:hanging="720"/>
        <w:rPr>
          <w:sz w:val="24"/>
          <w:szCs w:val="24"/>
        </w:rPr>
      </w:pPr>
      <w:proofErr w:type="gramStart"/>
      <w:r w:rsidRPr="00E92EAA">
        <w:rPr>
          <w:sz w:val="24"/>
          <w:szCs w:val="24"/>
        </w:rPr>
        <w:t xml:space="preserve">Callahan, C. A., </w:t>
      </w:r>
      <w:proofErr w:type="spellStart"/>
      <w:r w:rsidRPr="00E92EAA">
        <w:rPr>
          <w:sz w:val="24"/>
          <w:szCs w:val="24"/>
        </w:rPr>
        <w:t>Hojat</w:t>
      </w:r>
      <w:proofErr w:type="spellEnd"/>
      <w:r w:rsidRPr="00E92EAA">
        <w:rPr>
          <w:sz w:val="24"/>
          <w:szCs w:val="24"/>
        </w:rPr>
        <w:t xml:space="preserve">, M., &amp; </w:t>
      </w:r>
      <w:proofErr w:type="spellStart"/>
      <w:r w:rsidRPr="00E92EAA">
        <w:rPr>
          <w:sz w:val="24"/>
          <w:szCs w:val="24"/>
        </w:rPr>
        <w:t>Gonnella</w:t>
      </w:r>
      <w:proofErr w:type="spellEnd"/>
      <w:r w:rsidRPr="00E92EAA">
        <w:rPr>
          <w:sz w:val="24"/>
          <w:szCs w:val="24"/>
        </w:rPr>
        <w:t>, J. S. (2007).</w:t>
      </w:r>
      <w:proofErr w:type="gramEnd"/>
      <w:r w:rsidRPr="00E92EAA">
        <w:rPr>
          <w:sz w:val="24"/>
          <w:szCs w:val="24"/>
        </w:rPr>
        <w:t xml:space="preserve"> Volunteer bias in medical education research: an empirical study of over three decades of longitudinal data. </w:t>
      </w:r>
      <w:proofErr w:type="gramStart"/>
      <w:r w:rsidRPr="00E92EAA">
        <w:rPr>
          <w:i/>
          <w:sz w:val="24"/>
          <w:szCs w:val="24"/>
        </w:rPr>
        <w:t>Medical education,</w:t>
      </w:r>
      <w:r w:rsidRPr="00E92EAA">
        <w:rPr>
          <w:sz w:val="24"/>
          <w:szCs w:val="24"/>
        </w:rPr>
        <w:t xml:space="preserve"> 41(8), 746-753.</w:t>
      </w:r>
      <w:proofErr w:type="gramEnd"/>
    </w:p>
    <w:p w:rsidR="006D3AD2" w:rsidRPr="00E92EAA" w:rsidRDefault="006D3AD2" w:rsidP="00E148CF">
      <w:pPr>
        <w:spacing w:line="480" w:lineRule="auto"/>
        <w:ind w:firstLine="720"/>
        <w:rPr>
          <w:sz w:val="24"/>
          <w:szCs w:val="24"/>
        </w:rPr>
      </w:pPr>
      <w:r w:rsidRPr="00E92EAA">
        <w:rPr>
          <w:sz w:val="24"/>
          <w:szCs w:val="24"/>
        </w:rPr>
        <w:t>The Author offers information that the issue of whether the effect of medical research results can be biased by students refusing to their information to be used. The outcome research should be addressed well empirically so that it can assure the validity of the research findings. Following the reason that the institutions are required to document the results of their educational programs, the evaluation of the clinical performance</w:t>
      </w:r>
      <w:r w:rsidR="009A327A">
        <w:rPr>
          <w:sz w:val="24"/>
          <w:szCs w:val="24"/>
        </w:rPr>
        <w:t xml:space="preserve"> to medical schools is crucial. </w:t>
      </w:r>
      <w:proofErr w:type="gramStart"/>
      <w:r w:rsidR="00715B96">
        <w:rPr>
          <w:sz w:val="24"/>
          <w:szCs w:val="24"/>
        </w:rPr>
        <w:t>However,</w:t>
      </w:r>
      <w:r w:rsidRPr="00E92EAA">
        <w:rPr>
          <w:sz w:val="24"/>
          <w:szCs w:val="24"/>
        </w:rPr>
        <w:t xml:space="preserve"> normally incomplete when the graduate decline</w:t>
      </w:r>
      <w:r w:rsidR="009A327A">
        <w:rPr>
          <w:sz w:val="24"/>
          <w:szCs w:val="24"/>
        </w:rPr>
        <w:t>s</w:t>
      </w:r>
      <w:r w:rsidRPr="00E92EAA">
        <w:rPr>
          <w:sz w:val="24"/>
          <w:szCs w:val="24"/>
        </w:rPr>
        <w:t xml:space="preserve"> to perform data collection.</w:t>
      </w:r>
      <w:proofErr w:type="gramEnd"/>
      <w:r w:rsidRPr="00E92EAA">
        <w:rPr>
          <w:sz w:val="24"/>
          <w:szCs w:val="24"/>
        </w:rPr>
        <w:t xml:space="preserve"> The authors explain and conduct a study based on the objective that “This study aimed to examine the demographic and performance differences between research volunteers and others”. This longitudinal study performed the comparison of research non‐volunteers, volunteers and non‐respondents on the ethnicity, gender, performance measures before, during and after the medical school, board certification status and scores on medical licensing examinations. The author found out that of the study showed that the doctors who allowed the volunteers performed better at school and after school in the field. Further, the authors share the results that the doctor’s scored higher on the medical licensing and higher rate in the certificate. The women and the ethnic minority members were unlikely to grant permission.</w:t>
      </w:r>
    </w:p>
    <w:p w:rsidR="006D3AD2" w:rsidRPr="00E92EAA" w:rsidRDefault="006D3AD2" w:rsidP="00E148CF">
      <w:pPr>
        <w:spacing w:line="480" w:lineRule="auto"/>
        <w:ind w:firstLine="720"/>
        <w:rPr>
          <w:sz w:val="24"/>
          <w:szCs w:val="24"/>
        </w:rPr>
      </w:pPr>
      <w:r w:rsidRPr="00E92EAA">
        <w:rPr>
          <w:sz w:val="24"/>
          <w:szCs w:val="24"/>
        </w:rPr>
        <w:t xml:space="preserve">The Author concludes that the study raises a question regarding the validity of the research findings because of volunteerism in medical, educational research. The Author adds that </w:t>
      </w:r>
      <w:r w:rsidRPr="00E92EAA">
        <w:rPr>
          <w:sz w:val="24"/>
          <w:szCs w:val="24"/>
        </w:rPr>
        <w:lastRenderedPageBreak/>
        <w:t>the implications of the guidelines about the protection of human subjects in medical education research and educational outcomes are further discussed. The article is useful in finding the biases existing in research in schools and the fields of doctors.</w:t>
      </w:r>
    </w:p>
    <w:p w:rsidR="006D3AD2" w:rsidRPr="00E92EAA" w:rsidRDefault="006D3AD2" w:rsidP="00E148CF">
      <w:pPr>
        <w:spacing w:line="480" w:lineRule="auto"/>
        <w:ind w:left="720" w:hanging="720"/>
        <w:rPr>
          <w:sz w:val="24"/>
          <w:szCs w:val="24"/>
        </w:rPr>
      </w:pPr>
      <w:proofErr w:type="gramStart"/>
      <w:r w:rsidRPr="00E92EAA">
        <w:rPr>
          <w:sz w:val="24"/>
          <w:szCs w:val="24"/>
        </w:rPr>
        <w:t>Collins, S., &amp; Long, A. (2003).</w:t>
      </w:r>
      <w:proofErr w:type="gramEnd"/>
      <w:r w:rsidRPr="00E92EAA">
        <w:rPr>
          <w:sz w:val="24"/>
          <w:szCs w:val="24"/>
        </w:rPr>
        <w:t xml:space="preserve"> Working with the psychological effects of trauma: consequences for mental health‐care workers–a literature review. </w:t>
      </w:r>
      <w:proofErr w:type="gramStart"/>
      <w:r w:rsidRPr="00E92EAA">
        <w:rPr>
          <w:i/>
          <w:sz w:val="24"/>
          <w:szCs w:val="24"/>
        </w:rPr>
        <w:t>Journal of psychiatric and mental health nursing</w:t>
      </w:r>
      <w:r w:rsidRPr="00E92EAA">
        <w:rPr>
          <w:sz w:val="24"/>
          <w:szCs w:val="24"/>
        </w:rPr>
        <w:t>, 10(4), 417-424.</w:t>
      </w:r>
      <w:proofErr w:type="gramEnd"/>
    </w:p>
    <w:p w:rsidR="006D3AD2" w:rsidRPr="00E92EAA" w:rsidRDefault="006D3AD2" w:rsidP="00E148CF">
      <w:pPr>
        <w:spacing w:line="480" w:lineRule="auto"/>
        <w:ind w:firstLine="720"/>
        <w:rPr>
          <w:sz w:val="24"/>
          <w:szCs w:val="24"/>
        </w:rPr>
      </w:pPr>
      <w:r w:rsidRPr="00E92EAA">
        <w:rPr>
          <w:sz w:val="24"/>
          <w:szCs w:val="24"/>
        </w:rPr>
        <w:t>The article explores how interaction with severely traumatized patients is traumatizing to the caregivers. The authors start with the introduction, which posts the traumatic stress as the significant consequences of the exposure to the traumatic conditions. The Author offers information using the report that examines the concept of vicarious traumatization. The effects reported were the burn out, stress, vicarious traumatization and traumatic countertransference on the worker who tries to help the traumatized patients. The Author also discussed the various concepts regarding the consequences facing medical practitioners. Identifying the challenges that the practitioners face can open avenues for the provision of solutions for the benefit of mental care.</w:t>
      </w:r>
    </w:p>
    <w:p w:rsidR="003453E0" w:rsidRDefault="006D3AD2" w:rsidP="00E148CF">
      <w:pPr>
        <w:spacing w:line="480" w:lineRule="auto"/>
        <w:ind w:firstLine="720"/>
        <w:rPr>
          <w:sz w:val="24"/>
          <w:szCs w:val="24"/>
        </w:rPr>
      </w:pPr>
      <w:r w:rsidRPr="00E92EAA">
        <w:rPr>
          <w:sz w:val="24"/>
          <w:szCs w:val="24"/>
        </w:rPr>
        <w:t>The Author explores the notion of compassion as the findings elaborated that it is a protective factor which can act as the buffer to the aspects above. The findings show that the history of the previous distressful occasional is a risk factor which must not be ignored. The review concludes with the overview of the concepts that were put into consideration. The Author adds that the caution against the generalization of findings needs to be considered as well. The article is useful in finding the main challenges that the medical practitioners dealing with patients who are traumatized go through.</w:t>
      </w:r>
    </w:p>
    <w:p w:rsidR="002638B5" w:rsidRDefault="002638B5" w:rsidP="002638B5">
      <w:pPr>
        <w:spacing w:line="480" w:lineRule="auto"/>
        <w:ind w:left="720" w:hanging="720"/>
        <w:rPr>
          <w:sz w:val="24"/>
          <w:szCs w:val="24"/>
        </w:rPr>
      </w:pPr>
    </w:p>
    <w:p w:rsidR="002638B5" w:rsidRDefault="002638B5" w:rsidP="002638B5">
      <w:pPr>
        <w:spacing w:line="480" w:lineRule="auto"/>
        <w:ind w:left="720" w:hanging="720"/>
        <w:rPr>
          <w:sz w:val="24"/>
          <w:szCs w:val="24"/>
        </w:rPr>
      </w:pPr>
    </w:p>
    <w:p w:rsidR="002638B5" w:rsidRDefault="002638B5" w:rsidP="002638B5">
      <w:pPr>
        <w:spacing w:line="480" w:lineRule="auto"/>
        <w:ind w:left="720" w:hanging="720"/>
        <w:rPr>
          <w:sz w:val="24"/>
          <w:szCs w:val="24"/>
        </w:rPr>
      </w:pPr>
    </w:p>
    <w:p w:rsidR="002638B5" w:rsidRDefault="002638B5" w:rsidP="002638B5">
      <w:pPr>
        <w:spacing w:line="480" w:lineRule="auto"/>
        <w:ind w:left="720" w:hanging="720"/>
        <w:jc w:val="center"/>
        <w:rPr>
          <w:sz w:val="24"/>
          <w:szCs w:val="24"/>
        </w:rPr>
      </w:pPr>
      <w:r>
        <w:rPr>
          <w:sz w:val="24"/>
          <w:szCs w:val="24"/>
        </w:rPr>
        <w:t>References</w:t>
      </w:r>
    </w:p>
    <w:p w:rsidR="002638B5" w:rsidRDefault="002638B5" w:rsidP="002638B5">
      <w:pPr>
        <w:spacing w:line="480" w:lineRule="auto"/>
        <w:ind w:left="720" w:hanging="720"/>
        <w:rPr>
          <w:sz w:val="24"/>
          <w:szCs w:val="24"/>
        </w:rPr>
      </w:pPr>
      <w:proofErr w:type="gramStart"/>
      <w:r w:rsidRPr="00E92EAA">
        <w:rPr>
          <w:sz w:val="24"/>
          <w:szCs w:val="24"/>
        </w:rPr>
        <w:t>Ager, A. (1997).</w:t>
      </w:r>
      <w:proofErr w:type="gramEnd"/>
      <w:r w:rsidRPr="00E92EAA">
        <w:rPr>
          <w:sz w:val="24"/>
          <w:szCs w:val="24"/>
        </w:rPr>
        <w:t xml:space="preserve"> </w:t>
      </w:r>
      <w:r w:rsidRPr="00E92EAA">
        <w:rPr>
          <w:i/>
          <w:sz w:val="24"/>
          <w:szCs w:val="24"/>
        </w:rPr>
        <w:t>Tensions in the psychosocial discourse: Implications for the planning of interventions with war-affected populations. Development in Practice</w:t>
      </w:r>
      <w:proofErr w:type="gramStart"/>
      <w:r w:rsidRPr="00E92EAA">
        <w:rPr>
          <w:sz w:val="24"/>
          <w:szCs w:val="24"/>
        </w:rPr>
        <w:t>,7</w:t>
      </w:r>
      <w:proofErr w:type="gramEnd"/>
      <w:r w:rsidRPr="00E92EAA">
        <w:rPr>
          <w:sz w:val="24"/>
          <w:szCs w:val="24"/>
        </w:rPr>
        <w:t>(4), 402-407.</w:t>
      </w:r>
    </w:p>
    <w:p w:rsidR="002638B5" w:rsidRDefault="002638B5" w:rsidP="002638B5">
      <w:pPr>
        <w:spacing w:line="480" w:lineRule="auto"/>
        <w:ind w:left="720" w:hanging="720"/>
        <w:rPr>
          <w:sz w:val="24"/>
          <w:szCs w:val="24"/>
        </w:rPr>
      </w:pPr>
      <w:r w:rsidRPr="00E92EAA">
        <w:rPr>
          <w:sz w:val="24"/>
          <w:szCs w:val="24"/>
        </w:rPr>
        <w:t xml:space="preserve">Ahearn, F.L. (Ed.). </w:t>
      </w:r>
      <w:proofErr w:type="gramStart"/>
      <w:r w:rsidRPr="00E92EAA">
        <w:rPr>
          <w:sz w:val="24"/>
          <w:szCs w:val="24"/>
        </w:rPr>
        <w:t>(2000). Psychosocial wellness of refugees.</w:t>
      </w:r>
      <w:proofErr w:type="gramEnd"/>
      <w:r w:rsidRPr="00E92EAA">
        <w:rPr>
          <w:sz w:val="24"/>
          <w:szCs w:val="24"/>
        </w:rPr>
        <w:t xml:space="preserve"> </w:t>
      </w:r>
      <w:r w:rsidRPr="00E92EAA">
        <w:rPr>
          <w:i/>
          <w:sz w:val="24"/>
          <w:szCs w:val="24"/>
        </w:rPr>
        <w:t xml:space="preserve">Issues in qualitative and quantitative </w:t>
      </w:r>
      <w:proofErr w:type="spellStart"/>
      <w:r w:rsidRPr="00E92EAA">
        <w:rPr>
          <w:i/>
          <w:sz w:val="24"/>
          <w:szCs w:val="24"/>
        </w:rPr>
        <w:t>research</w:t>
      </w:r>
      <w:r w:rsidRPr="00E92EAA">
        <w:rPr>
          <w:sz w:val="24"/>
          <w:szCs w:val="24"/>
        </w:rPr>
        <w:t>.London</w:t>
      </w:r>
      <w:proofErr w:type="spellEnd"/>
      <w:r w:rsidRPr="00E92EAA">
        <w:rPr>
          <w:sz w:val="24"/>
          <w:szCs w:val="24"/>
        </w:rPr>
        <w:t xml:space="preserve">: </w:t>
      </w:r>
      <w:proofErr w:type="spellStart"/>
      <w:r w:rsidRPr="00E92EAA">
        <w:rPr>
          <w:sz w:val="24"/>
          <w:szCs w:val="24"/>
        </w:rPr>
        <w:t>Berghahn</w:t>
      </w:r>
      <w:proofErr w:type="spellEnd"/>
      <w:r w:rsidRPr="00E92EAA">
        <w:rPr>
          <w:sz w:val="24"/>
          <w:szCs w:val="24"/>
        </w:rPr>
        <w:t>.</w:t>
      </w:r>
    </w:p>
    <w:p w:rsidR="002638B5" w:rsidRDefault="002638B5" w:rsidP="002638B5">
      <w:pPr>
        <w:spacing w:line="480" w:lineRule="auto"/>
        <w:ind w:left="720" w:hanging="720"/>
        <w:rPr>
          <w:sz w:val="24"/>
          <w:szCs w:val="24"/>
        </w:rPr>
      </w:pPr>
      <w:proofErr w:type="gramStart"/>
      <w:r w:rsidRPr="00E92EAA">
        <w:rPr>
          <w:sz w:val="24"/>
          <w:szCs w:val="24"/>
        </w:rPr>
        <w:t>Bernard van Leer Foundation (2001).</w:t>
      </w:r>
      <w:proofErr w:type="gramEnd"/>
      <w:r w:rsidRPr="00E92EAA">
        <w:rPr>
          <w:sz w:val="24"/>
          <w:szCs w:val="24"/>
        </w:rPr>
        <w:t xml:space="preserve"> </w:t>
      </w:r>
      <w:r w:rsidRPr="00E92EAA">
        <w:rPr>
          <w:i/>
          <w:sz w:val="24"/>
          <w:szCs w:val="24"/>
        </w:rPr>
        <w:t xml:space="preserve">Effectiveness initiative: First fruits. </w:t>
      </w:r>
      <w:proofErr w:type="gramStart"/>
      <w:r w:rsidRPr="00E92EAA">
        <w:rPr>
          <w:i/>
          <w:sz w:val="24"/>
          <w:szCs w:val="24"/>
        </w:rPr>
        <w:t>In Early childhood matters</w:t>
      </w:r>
      <w:r w:rsidRPr="00E92EAA">
        <w:rPr>
          <w:sz w:val="24"/>
          <w:szCs w:val="24"/>
        </w:rPr>
        <w:t>.</w:t>
      </w:r>
      <w:proofErr w:type="gramEnd"/>
      <w:r w:rsidRPr="00E92EAA">
        <w:rPr>
          <w:sz w:val="24"/>
          <w:szCs w:val="24"/>
        </w:rPr>
        <w:t xml:space="preserve"> The Hague: Bernard van Leer Foundation.</w:t>
      </w:r>
    </w:p>
    <w:p w:rsidR="002638B5" w:rsidRPr="00E92EAA" w:rsidRDefault="002638B5" w:rsidP="002638B5">
      <w:pPr>
        <w:spacing w:line="480" w:lineRule="auto"/>
        <w:ind w:left="720" w:hanging="720"/>
        <w:rPr>
          <w:sz w:val="24"/>
          <w:szCs w:val="24"/>
        </w:rPr>
      </w:pPr>
      <w:proofErr w:type="gramStart"/>
      <w:r w:rsidRPr="00E92EAA">
        <w:rPr>
          <w:sz w:val="24"/>
          <w:szCs w:val="24"/>
        </w:rPr>
        <w:t xml:space="preserve">Callahan, C. A., </w:t>
      </w:r>
      <w:proofErr w:type="spellStart"/>
      <w:r w:rsidRPr="00E92EAA">
        <w:rPr>
          <w:sz w:val="24"/>
          <w:szCs w:val="24"/>
        </w:rPr>
        <w:t>Hojat</w:t>
      </w:r>
      <w:proofErr w:type="spellEnd"/>
      <w:r w:rsidRPr="00E92EAA">
        <w:rPr>
          <w:sz w:val="24"/>
          <w:szCs w:val="24"/>
        </w:rPr>
        <w:t xml:space="preserve">, M., &amp; </w:t>
      </w:r>
      <w:proofErr w:type="spellStart"/>
      <w:r w:rsidRPr="00E92EAA">
        <w:rPr>
          <w:sz w:val="24"/>
          <w:szCs w:val="24"/>
        </w:rPr>
        <w:t>Gonnella</w:t>
      </w:r>
      <w:proofErr w:type="spellEnd"/>
      <w:r w:rsidRPr="00E92EAA">
        <w:rPr>
          <w:sz w:val="24"/>
          <w:szCs w:val="24"/>
        </w:rPr>
        <w:t>, J. S. (2007).</w:t>
      </w:r>
      <w:proofErr w:type="gramEnd"/>
      <w:r w:rsidRPr="00E92EAA">
        <w:rPr>
          <w:sz w:val="24"/>
          <w:szCs w:val="24"/>
        </w:rPr>
        <w:t xml:space="preserve"> Volunteer bias in medical education research: an empirical study of over three decades of longitudinal data. </w:t>
      </w:r>
      <w:proofErr w:type="gramStart"/>
      <w:r w:rsidRPr="00E92EAA">
        <w:rPr>
          <w:i/>
          <w:sz w:val="24"/>
          <w:szCs w:val="24"/>
        </w:rPr>
        <w:t>Medical education,</w:t>
      </w:r>
      <w:r w:rsidRPr="00E92EAA">
        <w:rPr>
          <w:sz w:val="24"/>
          <w:szCs w:val="24"/>
        </w:rPr>
        <w:t xml:space="preserve"> 41(8), 746-753.</w:t>
      </w:r>
      <w:proofErr w:type="gramEnd"/>
    </w:p>
    <w:p w:rsidR="002638B5" w:rsidRDefault="002638B5" w:rsidP="002638B5">
      <w:pPr>
        <w:spacing w:line="480" w:lineRule="auto"/>
        <w:ind w:left="720" w:hanging="720"/>
        <w:rPr>
          <w:sz w:val="24"/>
          <w:szCs w:val="24"/>
        </w:rPr>
      </w:pPr>
      <w:proofErr w:type="gramStart"/>
      <w:r w:rsidRPr="00E92EAA">
        <w:rPr>
          <w:sz w:val="24"/>
          <w:szCs w:val="24"/>
        </w:rPr>
        <w:t>Collins, S., &amp; Long, A. (2003).</w:t>
      </w:r>
      <w:proofErr w:type="gramEnd"/>
      <w:r w:rsidRPr="00E92EAA">
        <w:rPr>
          <w:sz w:val="24"/>
          <w:szCs w:val="24"/>
        </w:rPr>
        <w:t xml:space="preserve"> Working with the psychological effects of trauma: consequences for mental health‐care workers–a literature review. </w:t>
      </w:r>
      <w:proofErr w:type="gramStart"/>
      <w:r w:rsidRPr="00E92EAA">
        <w:rPr>
          <w:i/>
          <w:sz w:val="24"/>
          <w:szCs w:val="24"/>
        </w:rPr>
        <w:t>Journal of psychiatric and mental health nursing</w:t>
      </w:r>
      <w:r w:rsidRPr="00E92EAA">
        <w:rPr>
          <w:sz w:val="24"/>
          <w:szCs w:val="24"/>
        </w:rPr>
        <w:t>, 10(4), 417-424.</w:t>
      </w:r>
      <w:proofErr w:type="gramEnd"/>
    </w:p>
    <w:p w:rsidR="002638B5" w:rsidRPr="00E92EAA" w:rsidRDefault="002638B5" w:rsidP="002638B5">
      <w:pPr>
        <w:spacing w:line="480" w:lineRule="auto"/>
        <w:ind w:left="720" w:hanging="720"/>
        <w:rPr>
          <w:i/>
          <w:sz w:val="24"/>
          <w:szCs w:val="24"/>
        </w:rPr>
      </w:pPr>
      <w:proofErr w:type="gramStart"/>
      <w:r w:rsidRPr="00E92EAA">
        <w:rPr>
          <w:sz w:val="24"/>
          <w:szCs w:val="24"/>
        </w:rPr>
        <w:t>Merino, Y., Adams, L., &amp; Hall, W. J. (2018).</w:t>
      </w:r>
      <w:proofErr w:type="gramEnd"/>
      <w:r w:rsidRPr="00E92EAA">
        <w:rPr>
          <w:sz w:val="24"/>
          <w:szCs w:val="24"/>
        </w:rPr>
        <w:t xml:space="preserve"> </w:t>
      </w:r>
      <w:r w:rsidRPr="00E92EAA">
        <w:rPr>
          <w:i/>
          <w:sz w:val="24"/>
          <w:szCs w:val="24"/>
        </w:rPr>
        <w:t>Implicit Bias and Mental Health Professionals: Priorities and Directions for Research.</w:t>
      </w:r>
    </w:p>
    <w:p w:rsidR="002638B5" w:rsidRPr="00E92EAA" w:rsidRDefault="002638B5" w:rsidP="002638B5">
      <w:pPr>
        <w:spacing w:line="480" w:lineRule="auto"/>
        <w:ind w:left="720" w:hanging="720"/>
        <w:rPr>
          <w:sz w:val="24"/>
          <w:szCs w:val="24"/>
        </w:rPr>
      </w:pPr>
    </w:p>
    <w:p w:rsidR="002638B5" w:rsidRPr="00E92EAA" w:rsidRDefault="002638B5" w:rsidP="00E148CF">
      <w:pPr>
        <w:spacing w:line="480" w:lineRule="auto"/>
        <w:ind w:firstLine="720"/>
        <w:rPr>
          <w:sz w:val="24"/>
          <w:szCs w:val="24"/>
        </w:rPr>
      </w:pPr>
    </w:p>
    <w:sectPr w:rsidR="002638B5" w:rsidRPr="00E92EAA" w:rsidSect="00AA22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7E3" w:rsidRDefault="00A827E3" w:rsidP="00E857C2">
      <w:pPr>
        <w:spacing w:after="0" w:line="240" w:lineRule="auto"/>
      </w:pPr>
      <w:r>
        <w:separator/>
      </w:r>
    </w:p>
  </w:endnote>
  <w:endnote w:type="continuationSeparator" w:id="0">
    <w:p w:rsidR="00A827E3" w:rsidRDefault="00A827E3" w:rsidP="00E85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7E3" w:rsidRDefault="00A827E3" w:rsidP="00E857C2">
      <w:pPr>
        <w:spacing w:after="0" w:line="240" w:lineRule="auto"/>
      </w:pPr>
      <w:r>
        <w:separator/>
      </w:r>
    </w:p>
  </w:footnote>
  <w:footnote w:type="continuationSeparator" w:id="0">
    <w:p w:rsidR="00A827E3" w:rsidRDefault="00A827E3" w:rsidP="00E857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A79" w:rsidRPr="00AC2194" w:rsidRDefault="00E857C2" w:rsidP="000A2F43">
    <w:pPr>
      <w:spacing w:after="0" w:line="480" w:lineRule="auto"/>
      <w:rPr>
        <w:bCs/>
        <w:sz w:val="24"/>
        <w:szCs w:val="24"/>
      </w:rPr>
    </w:pPr>
    <w:r>
      <w:rPr>
        <w:sz w:val="24"/>
        <w:szCs w:val="24"/>
      </w:rPr>
      <w:t>ANNOTATED BIBLIOGRAPHY</w:t>
    </w:r>
    <w:r w:rsidR="00045026">
      <w:rPr>
        <w:bCs/>
        <w:sz w:val="24"/>
        <w:szCs w:val="24"/>
      </w:rPr>
      <w:tab/>
    </w:r>
    <w:r w:rsidR="00045026">
      <w:rPr>
        <w:bCs/>
        <w:sz w:val="24"/>
        <w:szCs w:val="24"/>
      </w:rPr>
      <w:tab/>
      <w:t xml:space="preserve">                 </w:t>
    </w:r>
    <w:r w:rsidR="00045026" w:rsidRPr="007D551F">
      <w:rPr>
        <w:bCs/>
        <w:sz w:val="24"/>
        <w:szCs w:val="24"/>
      </w:rPr>
      <w:fldChar w:fldCharType="begin"/>
    </w:r>
    <w:r w:rsidR="00045026" w:rsidRPr="007D551F">
      <w:rPr>
        <w:bCs/>
        <w:sz w:val="24"/>
        <w:szCs w:val="24"/>
      </w:rPr>
      <w:instrText xml:space="preserve"> PAGE   \* MERGEFORMAT </w:instrText>
    </w:r>
    <w:r w:rsidR="00045026" w:rsidRPr="007D551F">
      <w:rPr>
        <w:bCs/>
        <w:sz w:val="24"/>
        <w:szCs w:val="24"/>
      </w:rPr>
      <w:fldChar w:fldCharType="separate"/>
    </w:r>
    <w:r w:rsidR="006C4C8A">
      <w:rPr>
        <w:bCs/>
        <w:noProof/>
        <w:sz w:val="24"/>
        <w:szCs w:val="24"/>
      </w:rPr>
      <w:t>2</w:t>
    </w:r>
    <w:r w:rsidR="00045026" w:rsidRPr="007D551F">
      <w:rPr>
        <w:bCs/>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A79" w:rsidRPr="00610D24" w:rsidRDefault="00045026">
    <w:pPr>
      <w:pStyle w:val="Header"/>
      <w:rPr>
        <w:sz w:val="24"/>
        <w:szCs w:val="24"/>
      </w:rPr>
    </w:pPr>
    <w:r w:rsidRPr="00610D24">
      <w:rPr>
        <w:sz w:val="24"/>
        <w:szCs w:val="24"/>
      </w:rPr>
      <w:t xml:space="preserve">Running Head: </w:t>
    </w:r>
    <w:r w:rsidR="002620E2">
      <w:rPr>
        <w:sz w:val="24"/>
        <w:szCs w:val="24"/>
      </w:rPr>
      <w:t>ANNOTATED BIBLIOGRAPHY</w:t>
    </w:r>
  </w:p>
  <w:p w:rsidR="00C24A79" w:rsidRDefault="00A827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7C2"/>
    <w:rsid w:val="00036385"/>
    <w:rsid w:val="00043A1D"/>
    <w:rsid w:val="00045026"/>
    <w:rsid w:val="000626A3"/>
    <w:rsid w:val="00085C3B"/>
    <w:rsid w:val="000A0CBF"/>
    <w:rsid w:val="000B53A8"/>
    <w:rsid w:val="000C09C1"/>
    <w:rsid w:val="000D56B2"/>
    <w:rsid w:val="00147987"/>
    <w:rsid w:val="00152817"/>
    <w:rsid w:val="00161A1F"/>
    <w:rsid w:val="00172150"/>
    <w:rsid w:val="00196D87"/>
    <w:rsid w:val="001D1934"/>
    <w:rsid w:val="001F5C23"/>
    <w:rsid w:val="0021397D"/>
    <w:rsid w:val="00247BB9"/>
    <w:rsid w:val="00250089"/>
    <w:rsid w:val="002620E2"/>
    <w:rsid w:val="002638B5"/>
    <w:rsid w:val="00266F5C"/>
    <w:rsid w:val="00291CA0"/>
    <w:rsid w:val="002C469A"/>
    <w:rsid w:val="002C6342"/>
    <w:rsid w:val="002D1C92"/>
    <w:rsid w:val="002E49D5"/>
    <w:rsid w:val="003208C7"/>
    <w:rsid w:val="00337108"/>
    <w:rsid w:val="003453E0"/>
    <w:rsid w:val="00356968"/>
    <w:rsid w:val="0037102D"/>
    <w:rsid w:val="00376976"/>
    <w:rsid w:val="0039794D"/>
    <w:rsid w:val="003A3B1B"/>
    <w:rsid w:val="003D4FF4"/>
    <w:rsid w:val="00406C15"/>
    <w:rsid w:val="00412C49"/>
    <w:rsid w:val="00463013"/>
    <w:rsid w:val="00463845"/>
    <w:rsid w:val="004705E1"/>
    <w:rsid w:val="0048626E"/>
    <w:rsid w:val="004A2B4E"/>
    <w:rsid w:val="004B5490"/>
    <w:rsid w:val="004C2EE4"/>
    <w:rsid w:val="004D24F0"/>
    <w:rsid w:val="004D6C35"/>
    <w:rsid w:val="00500277"/>
    <w:rsid w:val="00503223"/>
    <w:rsid w:val="00514124"/>
    <w:rsid w:val="005272CD"/>
    <w:rsid w:val="00535530"/>
    <w:rsid w:val="00540728"/>
    <w:rsid w:val="00577CD6"/>
    <w:rsid w:val="0058273E"/>
    <w:rsid w:val="005A5746"/>
    <w:rsid w:val="00606480"/>
    <w:rsid w:val="00660321"/>
    <w:rsid w:val="0069434A"/>
    <w:rsid w:val="006A6A97"/>
    <w:rsid w:val="006B5C48"/>
    <w:rsid w:val="006C4C8A"/>
    <w:rsid w:val="006C6D08"/>
    <w:rsid w:val="006D3AD2"/>
    <w:rsid w:val="006E2FF3"/>
    <w:rsid w:val="006F3C9F"/>
    <w:rsid w:val="006F7490"/>
    <w:rsid w:val="00715B96"/>
    <w:rsid w:val="00737AA6"/>
    <w:rsid w:val="00753634"/>
    <w:rsid w:val="007948CC"/>
    <w:rsid w:val="007957CF"/>
    <w:rsid w:val="007A2676"/>
    <w:rsid w:val="007A326F"/>
    <w:rsid w:val="007B0512"/>
    <w:rsid w:val="007C715A"/>
    <w:rsid w:val="00815B10"/>
    <w:rsid w:val="008210BE"/>
    <w:rsid w:val="00821190"/>
    <w:rsid w:val="0082496F"/>
    <w:rsid w:val="00831B9A"/>
    <w:rsid w:val="00853A4D"/>
    <w:rsid w:val="00872788"/>
    <w:rsid w:val="00877847"/>
    <w:rsid w:val="008B2B4F"/>
    <w:rsid w:val="008C5EC5"/>
    <w:rsid w:val="008D3C21"/>
    <w:rsid w:val="00902AF0"/>
    <w:rsid w:val="009224C4"/>
    <w:rsid w:val="00934474"/>
    <w:rsid w:val="00943DD4"/>
    <w:rsid w:val="00947D74"/>
    <w:rsid w:val="00957D32"/>
    <w:rsid w:val="009640E9"/>
    <w:rsid w:val="00973C81"/>
    <w:rsid w:val="009A1973"/>
    <w:rsid w:val="009A327A"/>
    <w:rsid w:val="009B68A2"/>
    <w:rsid w:val="009D7B1F"/>
    <w:rsid w:val="009E13E4"/>
    <w:rsid w:val="009F38CF"/>
    <w:rsid w:val="009F5DA1"/>
    <w:rsid w:val="00A1206C"/>
    <w:rsid w:val="00A57A21"/>
    <w:rsid w:val="00A827E3"/>
    <w:rsid w:val="00A93C53"/>
    <w:rsid w:val="00A94633"/>
    <w:rsid w:val="00AA7CE9"/>
    <w:rsid w:val="00AC4909"/>
    <w:rsid w:val="00AD5B8D"/>
    <w:rsid w:val="00B029DD"/>
    <w:rsid w:val="00B02BA2"/>
    <w:rsid w:val="00B07158"/>
    <w:rsid w:val="00B830EE"/>
    <w:rsid w:val="00B840D7"/>
    <w:rsid w:val="00B92FF3"/>
    <w:rsid w:val="00B93D2F"/>
    <w:rsid w:val="00BB02D6"/>
    <w:rsid w:val="00BB4A90"/>
    <w:rsid w:val="00BB6FB0"/>
    <w:rsid w:val="00BE2211"/>
    <w:rsid w:val="00C13F02"/>
    <w:rsid w:val="00C20C66"/>
    <w:rsid w:val="00C32217"/>
    <w:rsid w:val="00C42F13"/>
    <w:rsid w:val="00C530B3"/>
    <w:rsid w:val="00C64410"/>
    <w:rsid w:val="00C852A1"/>
    <w:rsid w:val="00C925E8"/>
    <w:rsid w:val="00CA5B1E"/>
    <w:rsid w:val="00CA708E"/>
    <w:rsid w:val="00CC50AD"/>
    <w:rsid w:val="00CD30A9"/>
    <w:rsid w:val="00D35C8D"/>
    <w:rsid w:val="00D37D38"/>
    <w:rsid w:val="00D4149F"/>
    <w:rsid w:val="00D43145"/>
    <w:rsid w:val="00D7680F"/>
    <w:rsid w:val="00DB547B"/>
    <w:rsid w:val="00DD6207"/>
    <w:rsid w:val="00E1300C"/>
    <w:rsid w:val="00E13F48"/>
    <w:rsid w:val="00E148CF"/>
    <w:rsid w:val="00E17E03"/>
    <w:rsid w:val="00E218F6"/>
    <w:rsid w:val="00E3194E"/>
    <w:rsid w:val="00E4544C"/>
    <w:rsid w:val="00E46DAB"/>
    <w:rsid w:val="00E47071"/>
    <w:rsid w:val="00E47F89"/>
    <w:rsid w:val="00E65392"/>
    <w:rsid w:val="00E65E4E"/>
    <w:rsid w:val="00E80944"/>
    <w:rsid w:val="00E84A7C"/>
    <w:rsid w:val="00E85714"/>
    <w:rsid w:val="00E857C2"/>
    <w:rsid w:val="00E92EAA"/>
    <w:rsid w:val="00E95D88"/>
    <w:rsid w:val="00EA392C"/>
    <w:rsid w:val="00EA7FC1"/>
    <w:rsid w:val="00EC21B3"/>
    <w:rsid w:val="00F27BCB"/>
    <w:rsid w:val="00F36E36"/>
    <w:rsid w:val="00F377CA"/>
    <w:rsid w:val="00F5026A"/>
    <w:rsid w:val="00F63638"/>
    <w:rsid w:val="00F719F8"/>
    <w:rsid w:val="00F866F9"/>
    <w:rsid w:val="00F97B22"/>
    <w:rsid w:val="00FB0C93"/>
    <w:rsid w:val="00FC7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7C2"/>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7C2"/>
    <w:pPr>
      <w:tabs>
        <w:tab w:val="center" w:pos="4513"/>
        <w:tab w:val="right" w:pos="9026"/>
      </w:tabs>
    </w:pPr>
  </w:style>
  <w:style w:type="character" w:customStyle="1" w:styleId="HeaderChar">
    <w:name w:val="Header Char"/>
    <w:basedOn w:val="DefaultParagraphFont"/>
    <w:link w:val="Header"/>
    <w:uiPriority w:val="99"/>
    <w:rsid w:val="00E857C2"/>
    <w:rPr>
      <w:rFonts w:ascii="Times New Roman" w:eastAsia="Calibri" w:hAnsi="Times New Roman" w:cs="Times New Roman"/>
      <w:sz w:val="20"/>
      <w:szCs w:val="20"/>
    </w:rPr>
  </w:style>
  <w:style w:type="paragraph" w:styleId="Footer">
    <w:name w:val="footer"/>
    <w:basedOn w:val="Normal"/>
    <w:link w:val="FooterChar"/>
    <w:uiPriority w:val="99"/>
    <w:unhideWhenUsed/>
    <w:rsid w:val="00E85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7C2"/>
    <w:rPr>
      <w:rFonts w:ascii="Times New Roman" w:eastAsia="Calibri"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7C2"/>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7C2"/>
    <w:pPr>
      <w:tabs>
        <w:tab w:val="center" w:pos="4513"/>
        <w:tab w:val="right" w:pos="9026"/>
      </w:tabs>
    </w:pPr>
  </w:style>
  <w:style w:type="character" w:customStyle="1" w:styleId="HeaderChar">
    <w:name w:val="Header Char"/>
    <w:basedOn w:val="DefaultParagraphFont"/>
    <w:link w:val="Header"/>
    <w:uiPriority w:val="99"/>
    <w:rsid w:val="00E857C2"/>
    <w:rPr>
      <w:rFonts w:ascii="Times New Roman" w:eastAsia="Calibri" w:hAnsi="Times New Roman" w:cs="Times New Roman"/>
      <w:sz w:val="20"/>
      <w:szCs w:val="20"/>
    </w:rPr>
  </w:style>
  <w:style w:type="paragraph" w:styleId="Footer">
    <w:name w:val="footer"/>
    <w:basedOn w:val="Normal"/>
    <w:link w:val="FooterChar"/>
    <w:uiPriority w:val="99"/>
    <w:unhideWhenUsed/>
    <w:rsid w:val="00E85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7C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2020-03-20T21:32:00Z</dcterms:created>
  <dcterms:modified xsi:type="dcterms:W3CDTF">2020-03-20T21:32:00Z</dcterms:modified>
</cp:coreProperties>
</file>